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8" w:firstLineChars="600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东辰石化季度检测方案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一、有组织检测（检测频次：每季度检测一天每天三次一个点位）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1、柴油加氢排气筒（2根）：二氧化硫、氮氧化物、粉尘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2、汽油加氢排气筒（2根）：二氧化硫、氮氧化物、粉尘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3、甲醇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氢排气筒（2根）：二氧化硫、氮氧化物、粉尘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4、烷烃脱氢四合一炉排气筒（1根）：二氧化硫、氮氧化物、粉尘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5、重整干燥炉排气筒（1根）：二氧化硫、氮氧化物、粉尘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6、常减压装置排气筒（1根）：二氧化硫、氮氧化物、粉尘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7、锅炉排气筒（1根）：二氧化硫、氮氧化物、粉尘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8、油气回收装置排气筒（1根检测进出口两个点位）：非甲烷总烃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9、污水处理厂排气筒（1根）：非甲烷总烃、氨、硫化氢、苯、甲苯、二甲苯、臭气浓度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10、烟气脱硫排气筒（1根）：二氧化硫、氮氧化物、粉尘、镍及其化合物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二、无组织检测（检测频次：每季度检测一天每天三次四个点位。分为石化分公司、进出口2个公司）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检测因子：非甲烷总烃、颗粒物、苯、甲苯、二甲苯、氨、硫化氢、臭气浓度、甲醇、苯并芘（每年一次）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三、废水检测（检测频次：每季度检测一天每天一次点位数不详）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检测因子：COD、氨氮、石油类、PH、SS、总氮、总磷、硫化物、挥发酚、总镍、BOD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subscript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  <w:t>、总有机碳、总钒、苯、甲苯、邻二甲苯、间二甲苯、对二甲苯、乙苯、总氰化物。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地下水检测（检测频次：半年检测一天每天一次三个点位。石化分公司2个点，进出口1个点）</w:t>
      </w:r>
    </w:p>
    <w:tbl>
      <w:tblPr>
        <w:tblStyle w:val="8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86"/>
        <w:gridCol w:w="3569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noWrap w:val="0"/>
            <w:vAlign w:val="center"/>
          </w:tcPr>
          <w:p>
            <w:pPr>
              <w:pStyle w:val="9"/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  <w:t>检测地点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pStyle w:val="9"/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  <w:t>检测频率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pStyle w:val="9"/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  <w:t>检测内容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9"/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  <w:t>检                                                       测方式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pStyle w:val="9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  <w:t>石化、进出口地下水监控井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pStyle w:val="9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  <w:t>半年检测一次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pStyle w:val="9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  <w:t>PH值、高锰酸盐指数、氨氮、石油类、总氮、总磷、硫化物、挥发酚、BOD5、总有机碳、总钒、苯、甲苯、邻二甲苯、间二甲苯、对二甲苯、乙苯、总氰化物、苯并（a）芘、总砷、总镍、总铅、总汞。</w:t>
            </w:r>
          </w:p>
          <w:p>
            <w:pPr>
              <w:pStyle w:val="9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9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Times New Roman" w:eastAsia="宋体"/>
                <w:kern w:val="0"/>
                <w:sz w:val="21"/>
                <w:lang w:val="en-US" w:eastAsia="zh-CN"/>
              </w:rPr>
              <w:t>委托检测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五、土壤检测（检测频次：每年检测一天每天一次一个点位分为石化分公司、进出口2个公司）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检测因子：PH值、硫化物、苯、甲苯、二甲苯、苯并（a）芘、总砷、总镍、总铅、总汞。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雨水检测（检测频次：雨水排放期按日检测一次。分为石化分公司、进出口2个公司）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检测因子：COD、PH、SS、氨氮、石油类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噪声检测（检测频次：每季度检测一天每天昼夜各一次四个点位。分为石化分公司、进出口2个公司）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应急检测（检测项目为无组织检测项目、废水检测项目）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注：应急检测、雨水监测次数、点位、频次无法确定，需根据要求临时制定检测计划方案，检测项目与无组织检测项目及废水检测项目一致。报价每次费用。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  <w:t xml:space="preserve">                              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  <w:t xml:space="preserve">                   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  <w:t xml:space="preserve">          </w:t>
      </w:r>
    </w:p>
    <w:p>
      <w:pPr>
        <w:pStyle w:val="2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8" w:firstLineChars="600"/>
        <w:jc w:val="both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8" w:firstLineChars="600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东辰石化月度检测方案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一、有组织检测（检测频次：每月度检测一天每天三次一个点位）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10、油气回收装置排气筒（1根检测进出口两个点位）：非甲烷总烃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11、污水处理厂排气筒（1根）：非甲烷总烃、硫化氢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二、废水检测（检测频次：每月度检测一天每天一次一个点位）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废水总排口   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检测因子：石油类、PH、SS、总氮、总磷、硫化物、挥发酚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催化裂化烟气脱硫废水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检测因子：总镍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轻芳烃加氢装置排放口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  <w:t xml:space="preserve">                                    二〇一九年一月三日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1FF0A"/>
    <w:multiLevelType w:val="singleLevel"/>
    <w:tmpl w:val="9561FF0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FFACA1"/>
    <w:multiLevelType w:val="singleLevel"/>
    <w:tmpl w:val="1DFFACA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1F12"/>
    <w:rsid w:val="03BA6F47"/>
    <w:rsid w:val="08050D39"/>
    <w:rsid w:val="0F7C21DB"/>
    <w:rsid w:val="14ED59B4"/>
    <w:rsid w:val="153B1818"/>
    <w:rsid w:val="155B3165"/>
    <w:rsid w:val="17410A63"/>
    <w:rsid w:val="177729E9"/>
    <w:rsid w:val="17BB5BCA"/>
    <w:rsid w:val="211538AE"/>
    <w:rsid w:val="248A7437"/>
    <w:rsid w:val="2D9000E0"/>
    <w:rsid w:val="2E143555"/>
    <w:rsid w:val="30C75C48"/>
    <w:rsid w:val="37E052DF"/>
    <w:rsid w:val="39327C5E"/>
    <w:rsid w:val="468F56AB"/>
    <w:rsid w:val="481D0766"/>
    <w:rsid w:val="4CDA6A20"/>
    <w:rsid w:val="56206C2B"/>
    <w:rsid w:val="5A8102B0"/>
    <w:rsid w:val="5B362B87"/>
    <w:rsid w:val="6AC96DB5"/>
    <w:rsid w:val="70275BD2"/>
    <w:rsid w:val="70DC7614"/>
    <w:rsid w:val="75DB2AAF"/>
    <w:rsid w:val="7A081EDB"/>
    <w:rsid w:val="7D4F573B"/>
    <w:rsid w:val="7FD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sz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unhideWhenUsed/>
    <w:qFormat/>
    <w:uiPriority w:val="99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2019-01-03T00:34:00Z</cp:lastPrinted>
  <dcterms:modified xsi:type="dcterms:W3CDTF">2019-01-07T03:31:56Z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